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color w:val="4338CA"/>
          <w:sz w:val="32"/>
        </w:rPr>
        <w:t>Erwartungshorizont</w:t>
      </w:r>
    </w:p>
    <w:p>
      <w:pPr>
        <w:spacing w:after="160"/>
      </w:pPr>
      <w:r>
        <w:rPr>
          <w:color w:val="6B7280"/>
          <w:sz w:val="20"/>
        </w:rPr>
        <w:t>Mathematik und Naturwissenschaften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288"/>
        <w:gridCol w:w="3288"/>
        <w:gridCol w:w="3288"/>
      </w:tblGrid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Fach: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Klasse: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Datum:</w:t>
            </w:r>
          </w:p>
        </w:tc>
      </w:tr>
      <w:tr>
        <w:trPr>
          <w:trHeight w:val="454"/>
        </w:trPr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Thema der Arbeit: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Name oder Kennung:</w:t>
            </w:r>
          </w:p>
        </w:tc>
        <w:tc>
          <w:tcPr>
            <w:tcW w:type="dxa" w:w="3288"/>
          </w:tcPr>
          <w:p>
            <w:pPr>
              <w:spacing w:after="0"/>
            </w:pPr>
            <w:r>
              <w:rPr>
                <w:b w:val="0"/>
                <w:i/>
                <w:color w:val="6B7280"/>
                <w:sz w:val="17"/>
              </w:rPr>
              <w:t>Hilfsmittel:</w:t>
            </w:r>
          </w:p>
        </w:tc>
      </w:tr>
    </w:tbl>
    <w:p>
      <w:pPr>
        <w:spacing w:before="200" w:after="80"/>
      </w:pPr>
      <w:r>
        <w:rPr>
          <w:b/>
          <w:sz w:val="22"/>
        </w:rPr>
        <w:t>Aufgaben und Teilpunkte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077"/>
        <w:gridCol w:w="1814"/>
        <w:gridCol w:w="3118"/>
        <w:gridCol w:w="737"/>
        <w:gridCol w:w="1020"/>
        <w:gridCol w:w="2098"/>
      </w:tblGrid>
      <w:tr>
        <w:trPr>
          <w:trHeight w:val="425"/>
          <w:tblHeader w:val="true"/>
        </w:trPr>
        <w:tc>
          <w:tcPr>
            <w:tcW w:type="dxa" w:w="107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Aufgabe</w:t>
            </w:r>
          </w:p>
        </w:tc>
        <w:tc>
          <w:tcPr>
            <w:tcW w:type="dxa" w:w="1814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Teilschritt</w:t>
            </w:r>
          </w:p>
        </w:tc>
        <w:tc>
          <w:tcPr>
            <w:tcW w:type="dxa" w:w="3118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Erwartet</w:t>
            </w:r>
          </w:p>
        </w:tc>
        <w:tc>
          <w:tcPr>
            <w:tcW w:type="dxa" w:w="737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max.</w:t>
            </w:r>
          </w:p>
        </w:tc>
        <w:tc>
          <w:tcPr>
            <w:tcW w:type="dxa" w:w="1020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erreicht</w:t>
            </w:r>
          </w:p>
        </w:tc>
        <w:tc>
          <w:tcPr>
            <w:tcW w:type="dxa" w:w="2098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Bemerkung</w:t>
            </w:r>
          </w:p>
        </w:tc>
      </w:tr>
      <w:tr>
        <w:trPr>
          <w:trHeight w:val="425"/>
        </w:trPr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 a)</w:t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Formel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A = π · r²</w:t>
            </w:r>
          </w:p>
        </w:tc>
        <w:tc>
          <w:tcPr>
            <w:tcW w:type="dxa" w:w="737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1</w:t>
            </w:r>
          </w:p>
        </w:tc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2098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Einsetzen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A = π · (4 cm)²</w:t>
            </w:r>
          </w:p>
        </w:tc>
        <w:tc>
          <w:tcPr>
            <w:tcW w:type="dxa" w:w="737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1</w:t>
            </w:r>
          </w:p>
        </w:tc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2098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Ergebnis mit Einheit</w:t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A ≈ 50,3 cm²</w:t>
            </w:r>
          </w:p>
        </w:tc>
        <w:tc>
          <w:tcPr>
            <w:tcW w:type="dxa" w:w="737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2</w:t>
            </w:r>
          </w:p>
        </w:tc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2098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73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2098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73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2098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73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2098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73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2098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73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2098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07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3118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737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020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2098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  <w:tr>
        <w:trPr>
          <w:trHeight w:val="425"/>
        </w:trPr>
        <w:tc>
          <w:tcPr>
            <w:tcW w:type="dxa" w:w="107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1814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  <w:t>Summe</w:t>
            </w:r>
          </w:p>
        </w:tc>
        <w:tc>
          <w:tcPr>
            <w:tcW w:type="dxa" w:w="3118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737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1020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  <w:tc>
          <w:tcPr>
            <w:tcW w:type="dxa" w:w="2098"/>
            <w:shd w:val="clear" w:color="auto" w:fill="F3F4F6"/>
          </w:tcPr>
          <w:p>
            <w:pPr>
              <w:spacing w:after="0"/>
            </w:pPr>
            <w:r>
              <w:rPr>
                <w:b/>
              </w:rPr>
            </w:r>
          </w:p>
        </w:tc>
      </w:tr>
    </w:tbl>
    <w:p>
      <w:pPr>
        <w:spacing w:before="200" w:after="80"/>
      </w:pPr>
      <w:r>
        <w:rPr>
          <w:b/>
          <w:sz w:val="20"/>
        </w:rPr>
        <w:t>Regeln für alle Aufgaben</w:t>
      </w:r>
    </w:p>
    <w:p>
      <w:pPr>
        <w:pStyle w:val="ListBullet"/>
        <w:spacing w:after="40"/>
      </w:pPr>
      <w:r>
        <w:t>Folgefehler werden nur einmal abgezogen: Wer mit einem falschen Zwischenergebnis richtig weiterrechnet, verliert Punkte nur an der Stelle, an der der Fehler entstanden ist.</w:t>
      </w:r>
    </w:p>
    <w:p>
      <w:pPr>
        <w:pStyle w:val="ListBullet"/>
        <w:spacing w:after="40"/>
      </w:pPr>
      <w:r>
        <w:t>Andere richtige Lösungswege zählen gleichwertig, die Punktzahl je Aufgabe bleibt gleich.</w:t>
      </w:r>
    </w:p>
    <w:p>
      <w:pPr>
        <w:pStyle w:val="ListBullet"/>
        <w:spacing w:after="40"/>
      </w:pPr>
      <w:r>
        <w:t>Fehlende oder falsche Einheit: ______ Punkt Abzug je Aufgabe.</w:t>
      </w:r>
    </w:p>
    <w:p>
      <w:pPr>
        <w:pStyle w:val="ListBullet"/>
        <w:spacing w:after="40"/>
      </w:pPr>
      <w:r>
        <w:t>Skizzen, Graphen und Konstruktionen: Genauigkeit ______ (zum Beispiel ± 2 mm, ± 2°).</w:t>
      </w:r>
    </w:p>
    <w:p>
      <w:pPr>
        <w:spacing w:before="200"/>
      </w:pPr>
      <w:r>
        <w:rPr>
          <w:b/>
        </w:rPr>
        <w:t>Gesamt: ______ von ______ Punkten          Note: ______</w:t>
      </w:r>
    </w:p>
    <w:p>
      <w:pPr>
        <w:spacing w:before="200" w:after="80"/>
      </w:pPr>
      <w:r>
        <w:rPr>
          <w:b/>
          <w:sz w:val="20"/>
        </w:rPr>
        <w:t>Notenschlüssel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1361"/>
        <w:gridCol w:w="1361"/>
        <w:gridCol w:w="1361"/>
        <w:gridCol w:w="1361"/>
        <w:gridCol w:w="1361"/>
        <w:gridCol w:w="1361"/>
      </w:tblGrid>
      <w:tr>
        <w:trPr>
          <w:trHeight w:val="425"/>
          <w:tblHeader w:val="true"/>
        </w:trPr>
        <w:tc>
          <w:tcPr>
            <w:tcW w:type="dxa" w:w="170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Note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type="dxa" w:w="1361"/>
            <w:shd w:val="clear" w:color="auto" w:fill="EEF2FF"/>
          </w:tcPr>
          <w:p>
            <w:pPr>
              <w:spacing w:after="0"/>
            </w:pPr>
            <w:r>
              <w:rPr>
                <w:b/>
                <w:sz w:val="18"/>
              </w:rPr>
              <w:t>6</w:t>
            </w:r>
          </w:p>
        </w:tc>
      </w:tr>
      <w:tr>
        <w:trPr>
          <w:trHeight w:val="425"/>
        </w:trPr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ab Prozent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92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81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67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50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30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/>
                <w:color w:val="6B7280"/>
              </w:rPr>
              <w:t>0</w:t>
            </w:r>
          </w:p>
        </w:tc>
      </w:tr>
      <w:tr>
        <w:trPr>
          <w:trHeight w:val="425"/>
        </w:trPr>
        <w:tc>
          <w:tcPr>
            <w:tcW w:type="dxa" w:w="1701"/>
          </w:tcPr>
          <w:p>
            <w:pPr>
              <w:spacing w:after="0"/>
            </w:pPr>
            <w:r>
              <w:rPr>
                <w:b w:val="0"/>
              </w:rPr>
              <w:t>ab Punkten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</w:rPr>
            </w:r>
          </w:p>
        </w:tc>
      </w:tr>
    </w:tbl>
    <w:p>
      <w:pPr>
        <w:spacing w:before="60"/>
      </w:pPr>
      <w:r>
        <w:rPr>
          <w:color w:val="6B7280"/>
          <w:sz w:val="17"/>
        </w:rPr>
        <w:t>Grau vorbelegt: Prozentgrenzen des IHK-Schlüssels als Beispiel. Es gilt der Beschluss deiner Fachkonferenz. Punktgrenzen rechnet der Notenschlüssel-Rechner auf zencurio.de aus.</w:t>
      </w:r>
    </w:p>
    <w:p>
      <w:pPr>
        <w:spacing w:before="200" w:after="80"/>
      </w:pPr>
      <w:r>
        <w:rPr>
          <w:b/>
          <w:sz w:val="20"/>
        </w:rPr>
        <w:t>Bemerkungen</w:t>
      </w: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280" w:after="0"/>
        <w:pBdr>
          <w:bottom w:val="single" w:sz="4" w:space="1" w:color="9CA3AF"/>
          <w:between w:val="single" w:sz="4" w:space="1" w:color="9CA3AF"/>
        </w:pBdr>
      </w:pPr>
    </w:p>
    <w:p>
      <w:pPr>
        <w:spacing w:before="320"/>
      </w:pPr>
      <w:r>
        <w:t>Datum, Unterschrift: ________________________________________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5"/>
      </w:rPr>
      <w:t>Vorlage von zencurio.de/ratgeber/erwartungshorizont-vorlagen, frei verwendbar und veränderbar.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